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bookmarkStart w:id="0" w:name="_GoBack"/>
      <w:bookmarkEnd w:id="0"/>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2CEB298" w:rsidR="008F4AEA" w:rsidRPr="0017695A" w:rsidRDefault="004F6B11" w:rsidP="008F4AEA">
          <w:pPr>
            <w:pStyle w:val="Titul2"/>
          </w:pPr>
          <w:r w:rsidRPr="004F6B11">
            <w:rPr>
              <w:rStyle w:val="Nzevakce"/>
              <w:b/>
            </w:rPr>
            <w:t xml:space="preserve">„Rekonstrukce mostu v km 200,916 trati Plzeň – Žatec“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141A56" w:rsidRDefault="00C96E7C" w:rsidP="00C732F0">
      <w:pPr>
        <w:pStyle w:val="Bezmezer"/>
        <w:jc w:val="both"/>
        <w:rPr>
          <w:b/>
          <w:sz w:val="18"/>
          <w:szCs w:val="18"/>
        </w:rPr>
      </w:pPr>
      <w:r w:rsidRPr="00141A56">
        <w:rPr>
          <w:b/>
          <w:sz w:val="18"/>
          <w:szCs w:val="18"/>
        </w:rPr>
        <w:t>Správa</w:t>
      </w:r>
      <w:r w:rsidR="008842C9" w:rsidRPr="00141A56">
        <w:rPr>
          <w:b/>
          <w:sz w:val="18"/>
          <w:szCs w:val="18"/>
        </w:rPr>
        <w:t xml:space="preserve"> železnic</w:t>
      </w:r>
      <w:r w:rsidRPr="00141A56">
        <w:rPr>
          <w:b/>
          <w:sz w:val="18"/>
          <w:szCs w:val="18"/>
        </w:rPr>
        <w:t>, státní organizace</w:t>
      </w:r>
    </w:p>
    <w:p w14:paraId="3305271D" w14:textId="77777777" w:rsidR="00C96E7C" w:rsidRPr="00141A56" w:rsidRDefault="00C96E7C" w:rsidP="00C732F0">
      <w:pPr>
        <w:pStyle w:val="Bezmezer"/>
        <w:jc w:val="both"/>
        <w:rPr>
          <w:sz w:val="18"/>
          <w:szCs w:val="18"/>
        </w:rPr>
      </w:pPr>
      <w:r w:rsidRPr="00141A56">
        <w:rPr>
          <w:sz w:val="18"/>
          <w:szCs w:val="18"/>
        </w:rPr>
        <w:t xml:space="preserve">se sídlem: Dlážděná 1003/7, 110 00 Praha 1 - Nové Město </w:t>
      </w:r>
    </w:p>
    <w:p w14:paraId="67BA64DD" w14:textId="77777777" w:rsidR="00C96E7C" w:rsidRPr="00141A56" w:rsidRDefault="00C96E7C" w:rsidP="00C732F0">
      <w:pPr>
        <w:pStyle w:val="Bezmezer"/>
        <w:jc w:val="both"/>
        <w:rPr>
          <w:sz w:val="18"/>
          <w:szCs w:val="18"/>
        </w:rPr>
      </w:pPr>
      <w:r w:rsidRPr="00141A56">
        <w:rPr>
          <w:sz w:val="18"/>
          <w:szCs w:val="18"/>
        </w:rPr>
        <w:t>IČO: 70994234 DIČ: CZ70994234</w:t>
      </w:r>
    </w:p>
    <w:p w14:paraId="74BC709D" w14:textId="77777777" w:rsidR="00C96E7C" w:rsidRPr="00141A56" w:rsidRDefault="00C96E7C" w:rsidP="00C732F0">
      <w:pPr>
        <w:pStyle w:val="Bezmezer"/>
        <w:jc w:val="both"/>
        <w:rPr>
          <w:sz w:val="18"/>
          <w:szCs w:val="18"/>
        </w:rPr>
      </w:pPr>
      <w:r w:rsidRPr="00141A56">
        <w:rPr>
          <w:sz w:val="18"/>
          <w:szCs w:val="18"/>
        </w:rPr>
        <w:t>zapsaná</w:t>
      </w:r>
      <w:r w:rsidR="00582C15" w:rsidRPr="00141A56">
        <w:rPr>
          <w:sz w:val="18"/>
          <w:szCs w:val="18"/>
        </w:rPr>
        <w:t xml:space="preserve"> v </w:t>
      </w:r>
      <w:r w:rsidRPr="00141A56">
        <w:rPr>
          <w:sz w:val="18"/>
          <w:szCs w:val="18"/>
        </w:rPr>
        <w:t>obchodním rejstříku vedeném Městským soudem</w:t>
      </w:r>
      <w:r w:rsidR="00582C15" w:rsidRPr="00141A56">
        <w:rPr>
          <w:sz w:val="18"/>
          <w:szCs w:val="18"/>
        </w:rPr>
        <w:t xml:space="preserve"> v </w:t>
      </w:r>
      <w:r w:rsidRPr="00141A56">
        <w:rPr>
          <w:sz w:val="18"/>
          <w:szCs w:val="18"/>
        </w:rPr>
        <w:t>Praze,</w:t>
      </w:r>
    </w:p>
    <w:p w14:paraId="7C391A50" w14:textId="77777777" w:rsidR="00C96E7C" w:rsidRPr="00141A56" w:rsidRDefault="00C96E7C" w:rsidP="00C732F0">
      <w:pPr>
        <w:pStyle w:val="Bezmezer"/>
        <w:jc w:val="both"/>
        <w:rPr>
          <w:sz w:val="18"/>
          <w:szCs w:val="18"/>
        </w:rPr>
      </w:pPr>
      <w:r w:rsidRPr="00141A56">
        <w:rPr>
          <w:sz w:val="18"/>
          <w:szCs w:val="18"/>
        </w:rPr>
        <w:t>spisová značka A 48384</w:t>
      </w:r>
    </w:p>
    <w:p w14:paraId="35B362D4" w14:textId="46AE1F8C" w:rsidR="00C96E7C" w:rsidRDefault="00C96E7C" w:rsidP="005B7883">
      <w:pPr>
        <w:pStyle w:val="Nadpisbezsl1-2"/>
      </w:pPr>
      <w:r>
        <w:t>1.1.2.3  Název</w:t>
      </w:r>
      <w:r w:rsidR="00582C15">
        <w:t xml:space="preserve"> a </w:t>
      </w:r>
      <w:r w:rsidR="00784203">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4171F029" w14:textId="77777777" w:rsidR="00C96E7C" w:rsidRDefault="00C96E7C" w:rsidP="005B7883">
      <w:r w:rsidRPr="00C96E7C">
        <w:rPr>
          <w:highlight w:val="green"/>
        </w:rPr>
        <w:t>VLOŽÍ OBJEDNATEL</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BCEB1E" w14:textId="77777777" w:rsidR="009040F2" w:rsidRDefault="009040F2" w:rsidP="005B7883">
      <w:pPr>
        <w:pStyle w:val="Nadpisbezsl1-2"/>
      </w:pPr>
    </w:p>
    <w:p w14:paraId="76521FB1" w14:textId="771EEED2"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Pr="009040F2" w:rsidRDefault="00E41EEA" w:rsidP="005D168C">
            <w:pPr>
              <w:pStyle w:val="Tabulka"/>
            </w:pPr>
            <w:r w:rsidRPr="009040F2">
              <w:t>Sekce</w:t>
            </w:r>
            <w:r w:rsidR="009A06AE" w:rsidRPr="009040F2">
              <w:t xml:space="preserve"> </w:t>
            </w:r>
            <w:r w:rsidR="001965E6" w:rsidRPr="009040F2">
              <w:t xml:space="preserve">1 </w:t>
            </w:r>
            <w:r w:rsidR="009A06AE" w:rsidRPr="009040F2">
              <w:t>stavební</w:t>
            </w:r>
          </w:p>
          <w:p w14:paraId="52AF35CE" w14:textId="249A561A" w:rsidR="00E55B33" w:rsidRPr="009040F2" w:rsidRDefault="00996496" w:rsidP="009040F2">
            <w:pPr>
              <w:pStyle w:val="Tabulka"/>
              <w:rPr>
                <w:i/>
              </w:rPr>
            </w:pPr>
            <w:r w:rsidRPr="009040F2">
              <w:t>zahrnující všechny SO kromě</w:t>
            </w:r>
            <w:r w:rsidR="004F6B11" w:rsidRPr="009040F2">
              <w:t xml:space="preserve"> SO 98-98-Všeobecný objekt, pol. Č. 1 až 3</w:t>
            </w:r>
          </w:p>
        </w:tc>
        <w:tc>
          <w:tcPr>
            <w:tcW w:w="5921" w:type="dxa"/>
          </w:tcPr>
          <w:p w14:paraId="26AFF388" w14:textId="7C71255D" w:rsidR="00E41EEA" w:rsidRPr="009040F2" w:rsidRDefault="004F6B11" w:rsidP="004F6B11">
            <w:pPr>
              <w:pStyle w:val="Tabulka"/>
              <w:cnfStyle w:val="000000000000" w:firstRow="0" w:lastRow="0" w:firstColumn="0" w:lastColumn="0" w:oddVBand="0" w:evenVBand="0" w:oddHBand="0" w:evenHBand="0" w:firstRowFirstColumn="0" w:firstRowLastColumn="0" w:lastRowFirstColumn="0" w:lastRowLastColumn="0"/>
            </w:pPr>
            <w:r w:rsidRPr="009040F2">
              <w:t>12 měsíců od Data zahájení prací</w:t>
            </w:r>
          </w:p>
        </w:tc>
      </w:tr>
      <w:tr w:rsidR="004F6B11"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B42C28D" w14:textId="77777777" w:rsidR="004F6B11" w:rsidRPr="009040F2" w:rsidRDefault="004F6B11" w:rsidP="004F6B11">
            <w:pPr>
              <w:pStyle w:val="Tabulka"/>
              <w:rPr>
                <w:b/>
                <w:bCs/>
              </w:rPr>
            </w:pPr>
            <w:r w:rsidRPr="009040F2">
              <w:t>Sekce 2</w:t>
            </w:r>
          </w:p>
          <w:p w14:paraId="2B2E889F" w14:textId="77777777" w:rsidR="004F6B11" w:rsidRPr="009040F2" w:rsidRDefault="004F6B11" w:rsidP="004F6B11">
            <w:pPr>
              <w:pStyle w:val="Tabulka"/>
            </w:pPr>
            <w:r w:rsidRPr="009040F2">
              <w:t>Zahrnující SO 98-98 – Všeobecný objekt, pol. č. 1 až 3</w:t>
            </w:r>
          </w:p>
          <w:p w14:paraId="77D963AB" w14:textId="333BF6BB" w:rsidR="004F6B11" w:rsidRPr="009040F2" w:rsidRDefault="004F6B11" w:rsidP="004F6B11">
            <w:pPr>
              <w:pStyle w:val="Tabulka"/>
              <w:rPr>
                <w:b/>
              </w:rPr>
            </w:pPr>
            <w:r w:rsidRPr="009040F2">
              <w:t>Část pro dokumentace</w:t>
            </w:r>
          </w:p>
        </w:tc>
        <w:tc>
          <w:tcPr>
            <w:tcW w:w="5921" w:type="dxa"/>
            <w:tcBorders>
              <w:bottom w:val="single" w:sz="2" w:space="0" w:color="auto"/>
            </w:tcBorders>
          </w:tcPr>
          <w:p w14:paraId="69D1935A" w14:textId="5B3E37F2" w:rsidR="004F6B11" w:rsidRPr="009040F2" w:rsidRDefault="004F6B11" w:rsidP="004F6B11">
            <w:pPr>
              <w:pStyle w:val="Tabulka"/>
              <w:cnfStyle w:val="000000000000" w:firstRow="0" w:lastRow="0" w:firstColumn="0" w:lastColumn="0" w:oddVBand="0" w:evenVBand="0" w:oddHBand="0" w:evenHBand="0" w:firstRowFirstColumn="0" w:firstRowLastColumn="0" w:lastRowFirstColumn="0" w:lastRowLastColumn="0"/>
            </w:pPr>
            <w:r w:rsidRPr="009040F2">
              <w:t>6 měsíců od dokončení Sekce 1</w:t>
            </w:r>
          </w:p>
        </w:tc>
      </w:tr>
      <w:tr w:rsidR="004F6B11"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97B7794" w14:textId="53693535" w:rsidR="004F6B11" w:rsidRPr="003259C2" w:rsidRDefault="004F6B11" w:rsidP="004F6B11">
            <w:pPr>
              <w:pStyle w:val="Tabulka"/>
            </w:pPr>
          </w:p>
        </w:tc>
        <w:tc>
          <w:tcPr>
            <w:tcW w:w="5921" w:type="dxa"/>
            <w:tcBorders>
              <w:top w:val="single" w:sz="2" w:space="0" w:color="auto"/>
            </w:tcBorders>
            <w:shd w:val="clear" w:color="auto" w:fill="auto"/>
          </w:tcPr>
          <w:p w14:paraId="70A74141" w14:textId="567417A9" w:rsidR="004F6B11" w:rsidRPr="003259C2" w:rsidRDefault="004F6B11" w:rsidP="004F6B11">
            <w:pPr>
              <w:pStyle w:val="Tabulka"/>
              <w:cnfStyle w:val="010000000000" w:firstRow="0" w:lastRow="1" w:firstColumn="0" w:lastColumn="0" w:oddVBand="0" w:evenVBand="0" w:oddHBand="0" w:evenHBand="0" w:firstRowFirstColumn="0" w:firstRowLastColumn="0" w:lastRowFirstColumn="0" w:lastRowLastColumn="0"/>
            </w:pP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3D446B70" w:rsidR="00C96E7C" w:rsidRDefault="00C96E7C" w:rsidP="005D168C">
      <w:pPr>
        <w:pStyle w:val="Textbezodsazen"/>
      </w:pPr>
      <w:r>
        <w:t>Komunikačním jazykem je český jazyk.</w:t>
      </w:r>
    </w:p>
    <w:p w14:paraId="3689F806" w14:textId="77777777" w:rsidR="00C54CAA" w:rsidRPr="004133B4" w:rsidRDefault="00C54CAA" w:rsidP="00C54CAA">
      <w:pPr>
        <w:spacing w:after="120" w:line="264" w:lineRule="auto"/>
        <w:jc w:val="both"/>
        <w:rPr>
          <w:rFonts w:asciiTheme="minorHAnsi" w:hAnsiTheme="minorHAnsi"/>
          <w:b/>
        </w:rPr>
      </w:pPr>
      <w:r w:rsidRPr="004133B4">
        <w:rPr>
          <w:rFonts w:asciiTheme="minorHAnsi" w:hAnsiTheme="minorHAnsi"/>
          <w:b/>
        </w:rPr>
        <w:t>1.7       Postoupení</w:t>
      </w:r>
    </w:p>
    <w:p w14:paraId="65FCBF4A" w14:textId="77777777" w:rsidR="00C54CAA" w:rsidRPr="004133B4" w:rsidRDefault="00C54CAA" w:rsidP="00C54CAA">
      <w:pPr>
        <w:spacing w:after="120" w:line="264" w:lineRule="auto"/>
        <w:jc w:val="both"/>
        <w:rPr>
          <w:rFonts w:asciiTheme="minorHAnsi" w:hAnsiTheme="minorHAnsi"/>
          <w:i/>
          <w:sz w:val="18"/>
          <w:szCs w:val="18"/>
        </w:rPr>
      </w:pPr>
      <w:r w:rsidRPr="004133B4">
        <w:rPr>
          <w:rFonts w:asciiTheme="minorHAnsi" w:hAnsiTheme="minorHAnsi"/>
          <w:i/>
          <w:sz w:val="18"/>
          <w:szCs w:val="18"/>
        </w:rPr>
        <w:t>Doplňuje se druhý a třetí odstavec, současný druhý odstavec se stává čtvrtým.</w:t>
      </w:r>
    </w:p>
    <w:p w14:paraId="2C43742B"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32CC59E2"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4133B4">
        <w:rPr>
          <w:rFonts w:asciiTheme="minorHAnsi" w:hAnsiTheme="minorHAnsi"/>
          <w:i/>
          <w:sz w:val="18"/>
          <w:szCs w:val="18"/>
        </w:rPr>
        <w:t>Přerušení práce</w:t>
      </w:r>
      <w:r w:rsidRPr="004133B4">
        <w:rPr>
          <w:rFonts w:asciiTheme="minorHAnsi" w:hAnsiTheme="minorHAnsi"/>
          <w:sz w:val="18"/>
          <w:szCs w:val="18"/>
        </w:rPr>
        <w:t>] z důvodů na straně Zhotovitele.</w:t>
      </w:r>
    </w:p>
    <w:p w14:paraId="04DA7E4F" w14:textId="77777777" w:rsidR="00C54CAA" w:rsidRDefault="00C54CAA" w:rsidP="005D168C">
      <w:pPr>
        <w:pStyle w:val="Textbezodsazen"/>
      </w:pP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976E25">
        <w:t xml:space="preserve">7 </w:t>
      </w:r>
      <w:r w:rsidRPr="00976E25">
        <w:t>S</w:t>
      </w:r>
      <w:r>
        <w:t>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572D8E61" w14:textId="77777777" w:rsidR="007B1246" w:rsidRDefault="007B1246" w:rsidP="005D168C">
      <w:pPr>
        <w:pStyle w:val="Textbezodsazen"/>
      </w:pPr>
      <w:r w:rsidRPr="009F4424">
        <w:t>Tento pod-článek se nepoužije.</w:t>
      </w:r>
    </w:p>
    <w:p w14:paraId="5C6CA4EB" w14:textId="77777777" w:rsidR="00C96E7C" w:rsidRDefault="00C96E7C" w:rsidP="005B7883">
      <w:pPr>
        <w:pStyle w:val="Nadpisbezsl1-2"/>
      </w:pPr>
      <w:r>
        <w:t>2.1  Právo přístupu na staveniště</w:t>
      </w:r>
    </w:p>
    <w:p w14:paraId="4EFFAE80" w14:textId="670357D9" w:rsidR="00C96E7C" w:rsidRDefault="00C96E7C" w:rsidP="005D168C">
      <w:pPr>
        <w:pStyle w:val="Textbezodsazen"/>
      </w:pPr>
      <w:r>
        <w:t xml:space="preserve">Přístup na Staveniště bude Zhotoviteli </w:t>
      </w:r>
      <w:r w:rsidRPr="009040F2">
        <w:t>umožněn od</w:t>
      </w:r>
      <w:r w:rsidR="00203A3D" w:rsidRPr="009040F2">
        <w:t xml:space="preserve"> předání </w:t>
      </w:r>
      <w:r w:rsidR="00C54CAA" w:rsidRPr="00C54CAA">
        <w:rPr>
          <w:color w:val="FF0000"/>
        </w:rPr>
        <w:t>S</w:t>
      </w:r>
      <w:r w:rsidR="00203A3D" w:rsidRPr="009040F2">
        <w:t>taveniště</w:t>
      </w:r>
      <w:r w:rsidRPr="009040F2">
        <w:t xml:space="preserve"> do </w:t>
      </w:r>
      <w:r>
        <w:t>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6B67ECC" w14:textId="77777777" w:rsidR="00C96E7C" w:rsidRDefault="00C96E7C" w:rsidP="003E2E24">
      <w:pPr>
        <w:pStyle w:val="Textbezodsazen"/>
        <w:numPr>
          <w:ilvl w:val="0"/>
          <w:numId w:val="48"/>
        </w:numPr>
      </w:pPr>
      <w:r w:rsidRPr="00E41EEA">
        <w:rPr>
          <w:highlight w:val="green"/>
        </w:rPr>
        <w:t>…………….</w:t>
      </w:r>
    </w:p>
    <w:p w14:paraId="022B3B8B" w14:textId="26E57057" w:rsidR="003E2E24" w:rsidRDefault="009D1439" w:rsidP="003E2E24">
      <w:pPr>
        <w:pStyle w:val="Textbezodsazen"/>
        <w:numPr>
          <w:ilvl w:val="0"/>
          <w:numId w:val="48"/>
        </w:numPr>
      </w:pPr>
      <w:r>
        <w:t>v</w:t>
      </w:r>
      <w:r w:rsidR="003E2E24">
        <w:t>e věci kontroly požití alkoholu a/nebo návykových látek</w:t>
      </w:r>
      <w:r w:rsidR="00203A3D">
        <w:t>:</w:t>
      </w:r>
    </w:p>
    <w:p w14:paraId="7D338A4F" w14:textId="77777777" w:rsidR="00203A3D" w:rsidRDefault="00203A3D" w:rsidP="00203A3D">
      <w:pPr>
        <w:pStyle w:val="Textbezodsazen"/>
        <w:spacing w:after="0"/>
      </w:pPr>
      <w:r>
        <w:t>Ing. Martin Šesták</w:t>
      </w:r>
    </w:p>
    <w:p w14:paraId="3D4DF156" w14:textId="77777777" w:rsidR="00203A3D" w:rsidRDefault="00203A3D" w:rsidP="00203A3D">
      <w:pPr>
        <w:pStyle w:val="Textbezodsazen"/>
        <w:spacing w:after="0"/>
      </w:pPr>
      <w:r>
        <w:t>Správa železnic, státní organizace</w:t>
      </w:r>
    </w:p>
    <w:p w14:paraId="723034CD" w14:textId="77777777" w:rsidR="00203A3D" w:rsidRDefault="00203A3D" w:rsidP="00203A3D">
      <w:pPr>
        <w:pStyle w:val="Textbezodsazen"/>
        <w:spacing w:after="0"/>
      </w:pPr>
      <w:r>
        <w:t>Stavební správa západ</w:t>
      </w:r>
    </w:p>
    <w:p w14:paraId="3E667E08" w14:textId="77777777" w:rsidR="00203A3D" w:rsidRDefault="00203A3D" w:rsidP="00203A3D">
      <w:pPr>
        <w:pStyle w:val="Textbezodsazen"/>
        <w:spacing w:after="0"/>
      </w:pPr>
      <w:r>
        <w:t>Sokolovská 278/1955, 190 00 Praha 9</w:t>
      </w:r>
    </w:p>
    <w:p w14:paraId="7CFDBF8F" w14:textId="77777777" w:rsidR="00203A3D" w:rsidRDefault="00203A3D" w:rsidP="00203A3D">
      <w:pPr>
        <w:pStyle w:val="Textbezodsazen"/>
        <w:spacing w:after="0"/>
      </w:pPr>
      <w:r>
        <w:t>Pracoviště: Sušická 25, 326 00 Plzeň</w:t>
      </w:r>
    </w:p>
    <w:p w14:paraId="2DAADC2B" w14:textId="77777777" w:rsidR="00203A3D" w:rsidRDefault="00203A3D" w:rsidP="00203A3D">
      <w:pPr>
        <w:pStyle w:val="Textbezodsazen"/>
        <w:spacing w:after="0"/>
      </w:pPr>
      <w:r>
        <w:t>mobil 602 708 920, e-mail: SestakM@spravazeleznic.cz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4234589"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AF838AE" w14:textId="77777777" w:rsidR="00C54CAA" w:rsidRPr="004133B4" w:rsidRDefault="00C54CAA" w:rsidP="00C54CAA">
      <w:pPr>
        <w:spacing w:after="120" w:line="264" w:lineRule="auto"/>
        <w:jc w:val="both"/>
        <w:rPr>
          <w:rFonts w:asciiTheme="minorHAnsi" w:hAnsiTheme="minorHAnsi"/>
          <w:b/>
        </w:rPr>
      </w:pPr>
      <w:r w:rsidRPr="004133B4">
        <w:rPr>
          <w:rFonts w:asciiTheme="minorHAnsi" w:hAnsiTheme="minorHAnsi"/>
          <w:b/>
        </w:rPr>
        <w:lastRenderedPageBreak/>
        <w:t>4.2.1 Bankovní záruka za plnění díla</w:t>
      </w:r>
    </w:p>
    <w:p w14:paraId="5FA33337" w14:textId="77777777" w:rsidR="00C54CAA" w:rsidRPr="004133B4" w:rsidRDefault="00C54CAA" w:rsidP="00C54CAA">
      <w:pPr>
        <w:spacing w:after="120" w:line="264" w:lineRule="auto"/>
        <w:jc w:val="both"/>
        <w:rPr>
          <w:rFonts w:asciiTheme="minorHAnsi" w:hAnsiTheme="minorHAnsi"/>
          <w:i/>
          <w:sz w:val="18"/>
          <w:szCs w:val="18"/>
        </w:rPr>
      </w:pPr>
      <w:r w:rsidRPr="004133B4">
        <w:rPr>
          <w:rFonts w:asciiTheme="minorHAnsi" w:hAnsiTheme="minorHAnsi"/>
          <w:i/>
          <w:sz w:val="18"/>
          <w:szCs w:val="18"/>
        </w:rPr>
        <w:t>Doplňuje se nový pátý odstavec a pořadí dalších se tak o jedno místo posunuje.</w:t>
      </w:r>
    </w:p>
    <w:p w14:paraId="12F0B42D"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373CEB1B" w14:textId="77777777" w:rsidR="00C54CAA" w:rsidRPr="004133B4" w:rsidRDefault="00C54CAA" w:rsidP="00C54CAA">
      <w:pPr>
        <w:spacing w:after="240" w:line="264" w:lineRule="auto"/>
        <w:jc w:val="both"/>
        <w:rPr>
          <w:rFonts w:asciiTheme="minorHAnsi" w:hAnsiTheme="minorHAnsi"/>
          <w:i/>
          <w:sz w:val="18"/>
          <w:szCs w:val="18"/>
        </w:rPr>
      </w:pPr>
      <w:r w:rsidRPr="004133B4">
        <w:rPr>
          <w:rFonts w:asciiTheme="minorHAnsi" w:hAnsiTheme="minorHAnsi"/>
          <w:i/>
          <w:sz w:val="18"/>
          <w:szCs w:val="18"/>
        </w:rPr>
        <w:t>Do šestého odstavce (podle nového pořadí) se za pododstavec (d) doplňují další dva pododstavce:</w:t>
      </w:r>
    </w:p>
    <w:p w14:paraId="37142C99"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BFFAF7E"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3AFC3A4F" w14:textId="77777777" w:rsidR="00C54CAA" w:rsidRPr="004133B4" w:rsidRDefault="00C54CAA" w:rsidP="00C54CAA">
      <w:pPr>
        <w:spacing w:after="240" w:line="264" w:lineRule="auto"/>
        <w:jc w:val="both"/>
        <w:rPr>
          <w:rFonts w:asciiTheme="minorHAnsi" w:hAnsiTheme="minorHAnsi"/>
          <w:b/>
        </w:rPr>
      </w:pPr>
      <w:r w:rsidRPr="004133B4">
        <w:rPr>
          <w:rFonts w:asciiTheme="minorHAnsi" w:hAnsiTheme="minorHAnsi"/>
          <w:b/>
        </w:rPr>
        <w:t>4.2.2 Bankovní záruka za odstranění vad Díla</w:t>
      </w:r>
    </w:p>
    <w:p w14:paraId="7955B1C0" w14:textId="77777777" w:rsidR="00C54CAA" w:rsidRPr="004133B4" w:rsidRDefault="00C54CAA" w:rsidP="00C54CAA">
      <w:pPr>
        <w:spacing w:after="120" w:line="264" w:lineRule="auto"/>
        <w:jc w:val="both"/>
        <w:rPr>
          <w:rFonts w:asciiTheme="minorHAnsi" w:hAnsiTheme="minorHAnsi"/>
          <w:i/>
          <w:sz w:val="18"/>
          <w:szCs w:val="18"/>
        </w:rPr>
      </w:pPr>
      <w:r w:rsidRPr="004133B4">
        <w:rPr>
          <w:rFonts w:asciiTheme="minorHAnsi" w:hAnsiTheme="minorHAnsi"/>
          <w:i/>
          <w:sz w:val="18"/>
          <w:szCs w:val="18"/>
        </w:rPr>
        <w:t>Doplňuje se nový čtvrtý odstavec a pořadí dalších se tak o jedno místo posunuje.</w:t>
      </w:r>
    </w:p>
    <w:p w14:paraId="679116C6"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442385DE" w14:textId="77777777" w:rsidR="00C54CAA" w:rsidRPr="004133B4" w:rsidRDefault="00C54CAA" w:rsidP="00C54CAA">
      <w:pPr>
        <w:spacing w:after="240" w:line="264" w:lineRule="auto"/>
        <w:jc w:val="both"/>
        <w:rPr>
          <w:rFonts w:asciiTheme="minorHAnsi" w:hAnsiTheme="minorHAnsi"/>
          <w:i/>
          <w:sz w:val="18"/>
          <w:szCs w:val="18"/>
        </w:rPr>
      </w:pPr>
      <w:r w:rsidRPr="004133B4">
        <w:rPr>
          <w:rFonts w:asciiTheme="minorHAnsi" w:hAnsiTheme="minorHAnsi"/>
          <w:i/>
          <w:sz w:val="18"/>
          <w:szCs w:val="18"/>
        </w:rPr>
        <w:t>Do pátého odstavce (podle nového pořadí) se za pododstavec (d) doplňují další dva pododstavce:</w:t>
      </w:r>
    </w:p>
    <w:p w14:paraId="21D36A9F"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46AE087D"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26779432" w:rsidR="00CE1DA0"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w:t>
      </w:r>
      <w:r w:rsidR="00A174BC" w:rsidRPr="00A93557">
        <w:lastRenderedPageBreak/>
        <w:t>Zhotovitel je povinen poskytnout součinnost k tomu, aby Správce stavby byl schopen identifikovat osoby poskytující plnění na jeho straně.</w:t>
      </w:r>
    </w:p>
    <w:p w14:paraId="4CE6BA25" w14:textId="77777777" w:rsidR="00C54CAA" w:rsidRPr="004133B4" w:rsidRDefault="00C54CAA" w:rsidP="00C54CAA">
      <w:pPr>
        <w:spacing w:after="120" w:line="264" w:lineRule="auto"/>
        <w:jc w:val="both"/>
        <w:rPr>
          <w:rFonts w:asciiTheme="minorHAnsi" w:hAnsiTheme="minorHAnsi"/>
          <w:b/>
          <w:sz w:val="18"/>
          <w:szCs w:val="18"/>
        </w:rPr>
      </w:pPr>
      <w:r w:rsidRPr="004133B4">
        <w:rPr>
          <w:rFonts w:asciiTheme="minorHAnsi" w:hAnsiTheme="minorHAnsi"/>
          <w:b/>
          <w:sz w:val="18"/>
          <w:szCs w:val="18"/>
        </w:rPr>
        <w:t>4.27 Povinnost zhotovitele zaplatit smluvní pokutu</w:t>
      </w:r>
    </w:p>
    <w:p w14:paraId="4A8003CB" w14:textId="77777777" w:rsidR="00C54CAA" w:rsidRPr="004133B4" w:rsidRDefault="00C54CAA" w:rsidP="00C54CAA">
      <w:pPr>
        <w:spacing w:after="240" w:line="264" w:lineRule="auto"/>
        <w:jc w:val="both"/>
        <w:rPr>
          <w:rFonts w:asciiTheme="minorHAnsi" w:hAnsiTheme="minorHAnsi"/>
          <w:i/>
          <w:sz w:val="18"/>
          <w:szCs w:val="18"/>
        </w:rPr>
      </w:pPr>
      <w:r w:rsidRPr="004133B4">
        <w:rPr>
          <w:rFonts w:asciiTheme="minorHAnsi" w:hAnsiTheme="minorHAnsi"/>
          <w:i/>
          <w:sz w:val="18"/>
          <w:szCs w:val="18"/>
        </w:rPr>
        <w:t>Pododstavec (j) se doplňuje o text: „…převedl svoji podnikatelskou činnost nebo její část ,…“ a nově zní:</w:t>
      </w:r>
    </w:p>
    <w:p w14:paraId="547D1329" w14:textId="5BD2B1E2" w:rsidR="00C54CAA" w:rsidRPr="004133B4" w:rsidRDefault="00C54CAA" w:rsidP="00C54CAA">
      <w:pPr>
        <w:spacing w:after="240" w:line="264" w:lineRule="auto"/>
        <w:jc w:val="both"/>
        <w:rPr>
          <w:rFonts w:asciiTheme="minorHAnsi" w:hAnsiTheme="minorHAnsi"/>
          <w:i/>
          <w:sz w:val="18"/>
          <w:szCs w:val="18"/>
        </w:rPr>
      </w:pPr>
      <w:r w:rsidRPr="004133B4">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64340904"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lastRenderedPageBreak/>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Pr="009040F2" w:rsidRDefault="00500582" w:rsidP="00EB6216">
      <w:pPr>
        <w:pStyle w:val="Textbezodsazen"/>
      </w:pPr>
      <w:r w:rsidRPr="009040F2">
        <w:t>Pro provádění Díla nejsou stanoveny žádné postupné milníky.</w:t>
      </w:r>
    </w:p>
    <w:p w14:paraId="66854CDD" w14:textId="0BDFA984" w:rsidR="00C96E7C" w:rsidRPr="009040F2" w:rsidRDefault="00C96E7C" w:rsidP="005B7883">
      <w:pPr>
        <w:pStyle w:val="Nadpisbezsl1-2"/>
      </w:pPr>
      <w:r w:rsidRPr="009040F2">
        <w:lastRenderedPageBreak/>
        <w:t>8.2, 8.4  Doba pro dokončení, Prodloužení doby pro dokončení</w:t>
      </w:r>
    </w:p>
    <w:p w14:paraId="22E2A309" w14:textId="4E9A2241" w:rsidR="00C96E7C" w:rsidRPr="009040F2" w:rsidRDefault="00C96E7C" w:rsidP="005D168C">
      <w:pPr>
        <w:pStyle w:val="Textbezodsazen"/>
      </w:pPr>
      <w:r w:rsidRPr="009040F2">
        <w:t>Zhotovitel je povinen dokončit celé Dílo včetně příslušné dokumentace dle pod-článku 7.9 do</w:t>
      </w:r>
      <w:r w:rsidR="004D4B84" w:rsidRPr="009040F2">
        <w:t xml:space="preserve"> </w:t>
      </w:r>
      <w:r w:rsidR="00203A3D" w:rsidRPr="009040F2">
        <w:t>18 měsíců</w:t>
      </w:r>
      <w:r w:rsidRPr="009040F2">
        <w:t xml:space="preserve"> od Data zahájení prací.</w:t>
      </w:r>
    </w:p>
    <w:p w14:paraId="2F057894" w14:textId="77777777" w:rsidR="00C96E7C" w:rsidRPr="009040F2" w:rsidRDefault="00C96E7C" w:rsidP="005B7883">
      <w:pPr>
        <w:pStyle w:val="Nadpisbezsl1-2"/>
      </w:pPr>
      <w:r w:rsidRPr="009040F2">
        <w:t>8.2, 1.1.3.10  Doba pro uvedení do provozu</w:t>
      </w:r>
    </w:p>
    <w:p w14:paraId="7FEF8740" w14:textId="19A068B2" w:rsidR="00C96E7C" w:rsidRPr="009040F2" w:rsidRDefault="00C96E7C" w:rsidP="005D168C">
      <w:pPr>
        <w:pStyle w:val="Textbezodsazen"/>
      </w:pPr>
      <w:r w:rsidRPr="009040F2">
        <w:t xml:space="preserve">Zhotovitel je povinen dokončit Dílo / </w:t>
      </w:r>
      <w:r w:rsidR="00203A3D" w:rsidRPr="009040F2">
        <w:t>Sekci 1 stavební</w:t>
      </w:r>
      <w:r w:rsidR="00582C15" w:rsidRPr="009040F2">
        <w:t xml:space="preserve"> v </w:t>
      </w:r>
      <w:r w:rsidRPr="009040F2">
        <w:t>rozsahu nezbytném pro účely uvedení Díla nebo Sekce do provozu za podmínek stavebního zákona</w:t>
      </w:r>
      <w:r w:rsidR="00582C15" w:rsidRPr="009040F2">
        <w:t xml:space="preserve"> a </w:t>
      </w:r>
      <w:r w:rsidRPr="009040F2">
        <w:t>zákona</w:t>
      </w:r>
      <w:r w:rsidR="00582C15" w:rsidRPr="009040F2">
        <w:t xml:space="preserve"> o </w:t>
      </w:r>
      <w:r w:rsidRPr="009040F2">
        <w:t xml:space="preserve">drahách nejpozději do </w:t>
      </w:r>
      <w:r w:rsidR="00203A3D" w:rsidRPr="009040F2">
        <w:t>12</w:t>
      </w:r>
      <w:r w:rsidRPr="009040F2">
        <w:t xml:space="preserve"> měsíců </w:t>
      </w:r>
      <w:r w:rsidR="00203A3D" w:rsidRPr="009040F2">
        <w:t>od Data zahájení prací.</w:t>
      </w:r>
    </w:p>
    <w:p w14:paraId="23249903" w14:textId="77777777" w:rsidR="00C96E7C" w:rsidRDefault="00C96E7C" w:rsidP="005B7883">
      <w:pPr>
        <w:pStyle w:val="Nadpisbezsl1-2"/>
      </w:pPr>
      <w:r>
        <w:t>8.3, 8.6  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1"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Pr="009040F2" w:rsidRDefault="00C96E7C" w:rsidP="00582C15">
      <w:pPr>
        <w:pStyle w:val="Textbezodsazen"/>
      </w:pPr>
      <w:r w:rsidRPr="009040F2">
        <w:t>Zálohová platba se neposkytuje.</w:t>
      </w:r>
    </w:p>
    <w:p w14:paraId="46C3EBC9" w14:textId="77777777" w:rsidR="00C96E7C" w:rsidRDefault="00C96E7C" w:rsidP="005B7883">
      <w:pPr>
        <w:pStyle w:val="Nadpisbezsl1-2"/>
      </w:pPr>
      <w:r>
        <w:t>14.5  Technologické materiály určené pro dílo</w:t>
      </w:r>
    </w:p>
    <w:p w14:paraId="65395CCD" w14:textId="0CC82F5B" w:rsidR="00C96E7C" w:rsidRDefault="00C96E7C" w:rsidP="00582C15">
      <w:pPr>
        <w:pStyle w:val="Textbezodsazen"/>
      </w:pPr>
      <w:r>
        <w:t>Pod-článek 14.5 se nepoužije.</w:t>
      </w:r>
    </w:p>
    <w:p w14:paraId="4C479F9E" w14:textId="77777777" w:rsidR="00C54CAA" w:rsidRPr="004133B4" w:rsidRDefault="00C54CAA" w:rsidP="00C54CAA">
      <w:pPr>
        <w:spacing w:after="240" w:line="264" w:lineRule="auto"/>
        <w:jc w:val="both"/>
        <w:rPr>
          <w:rFonts w:asciiTheme="minorHAnsi" w:hAnsiTheme="minorHAnsi"/>
          <w:b/>
        </w:rPr>
      </w:pPr>
      <w:r w:rsidRPr="004133B4">
        <w:rPr>
          <w:rFonts w:asciiTheme="minorHAnsi" w:hAnsiTheme="minorHAnsi"/>
          <w:b/>
        </w:rPr>
        <w:t>14.6 Vydání potvrzení průběžné platby</w:t>
      </w:r>
    </w:p>
    <w:p w14:paraId="72C34344"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Do šestého odstavce se za pododstavec písm.(f) doplňuje další pododstavec písm.(g):</w:t>
      </w:r>
    </w:p>
    <w:p w14:paraId="76CD6A0E" w14:textId="277786B0"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(g) neprokáže znovu splnění kvalifikace pro převodu podnikatelské činnosti či její části podle Pod-článku 1.7 [Postoupení],</w:t>
      </w:r>
    </w:p>
    <w:p w14:paraId="64647BDB"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8992A35" w14:textId="6A20B168" w:rsidR="00C54CAA"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0C734150"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24CAF6FB"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3C54AE6D" w14:textId="77777777" w:rsidR="00C54CAA" w:rsidRPr="004133B4" w:rsidRDefault="00C54CAA" w:rsidP="00C54CAA">
      <w:pPr>
        <w:spacing w:after="240" w:line="264" w:lineRule="auto"/>
        <w:jc w:val="both"/>
        <w:rPr>
          <w:rFonts w:asciiTheme="minorHAnsi" w:hAnsiTheme="minorHAnsi"/>
          <w:b/>
        </w:rPr>
      </w:pPr>
      <w:r w:rsidRPr="004133B4">
        <w:rPr>
          <w:rFonts w:asciiTheme="minorHAnsi" w:hAnsiTheme="minorHAnsi"/>
          <w:b/>
        </w:rPr>
        <w:t>15.2 Odstoupení objednatelem</w:t>
      </w:r>
    </w:p>
    <w:p w14:paraId="17B462E4" w14:textId="77777777"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Dosavadní text prvního odstavce v pododstavci písm.(d) se ruší a nahrazuje textem:</w:t>
      </w:r>
    </w:p>
    <w:p w14:paraId="7E428FC1" w14:textId="36F6A645" w:rsidR="00C54CAA" w:rsidRPr="004133B4" w:rsidRDefault="00C54CAA" w:rsidP="00C54CAA">
      <w:pPr>
        <w:spacing w:after="240" w:line="264" w:lineRule="auto"/>
        <w:jc w:val="both"/>
        <w:rPr>
          <w:rFonts w:asciiTheme="minorHAnsi" w:hAnsiTheme="minorHAnsi"/>
          <w:sz w:val="18"/>
          <w:szCs w:val="18"/>
        </w:rPr>
      </w:pPr>
      <w:r w:rsidRPr="004133B4">
        <w:rPr>
          <w:rFonts w:asciiTheme="minorHAnsi" w:hAnsiTheme="minorHAnsi"/>
          <w:sz w:val="18"/>
          <w:szCs w:val="18"/>
        </w:rPr>
        <w:t>(d) zadá celé Dílo podzhotoviteli, postoupí Smlouvu nebo převede podnikatelskou činnost či její část bez požadované</w:t>
      </w:r>
      <w:r w:rsidR="00482B36">
        <w:rPr>
          <w:rFonts w:asciiTheme="minorHAnsi" w:hAnsiTheme="minorHAnsi"/>
          <w:sz w:val="18"/>
          <w:szCs w:val="18"/>
        </w:rPr>
        <w:t xml:space="preserve">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r>
        <w:t>20.1  Ověřování</w:t>
      </w:r>
      <w:r w:rsidR="00582C15">
        <w:t xml:space="preserve"> a </w:t>
      </w:r>
      <w:r>
        <w:t xml:space="preserve">kvantifikace claimů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lastRenderedPageBreak/>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C8928" w14:textId="77777777" w:rsidR="00D96482" w:rsidRDefault="00D96482" w:rsidP="00962258">
      <w:pPr>
        <w:spacing w:after="0" w:line="240" w:lineRule="auto"/>
      </w:pPr>
      <w:r>
        <w:separator/>
      </w:r>
    </w:p>
  </w:endnote>
  <w:endnote w:type="continuationSeparator" w:id="0">
    <w:p w14:paraId="5BA91C78" w14:textId="77777777" w:rsidR="00D96482" w:rsidRDefault="00D964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21CECA54"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747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747F">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2366020A"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2747F">
            <w:rPr>
              <w:b/>
              <w:noProof/>
            </w:rPr>
            <w:t>„Rekonstrukce mostu v km 200,916 trati Plzeň – Žatec“</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06F56326"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2747F">
            <w:rPr>
              <w:b/>
              <w:noProof/>
            </w:rPr>
            <w:t>„Rekonstrukce mostu v km 200,916 trati Plzeň – Žatec“</w:t>
          </w:r>
          <w:r w:rsidRPr="00967F7C">
            <w:rPr>
              <w:b/>
              <w:noProof/>
            </w:rPr>
            <w:fldChar w:fldCharType="end"/>
          </w:r>
        </w:p>
      </w:tc>
      <w:tc>
        <w:tcPr>
          <w:tcW w:w="1021" w:type="dxa"/>
          <w:vAlign w:val="bottom"/>
        </w:tcPr>
        <w:p w14:paraId="63EFD5E7" w14:textId="5672910F"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2747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747F">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4D93A" w14:textId="77777777" w:rsidR="00D96482" w:rsidRDefault="00D96482" w:rsidP="00962258">
      <w:pPr>
        <w:spacing w:after="0" w:line="240" w:lineRule="auto"/>
      </w:pPr>
      <w:r>
        <w:separator/>
      </w:r>
    </w:p>
  </w:footnote>
  <w:footnote w:type="continuationSeparator" w:id="0">
    <w:p w14:paraId="3FBC244E" w14:textId="77777777" w:rsidR="00D96482" w:rsidRDefault="00D964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24AD"/>
    <w:rsid w:val="00023076"/>
    <w:rsid w:val="00030170"/>
    <w:rsid w:val="00041EC8"/>
    <w:rsid w:val="00044C35"/>
    <w:rsid w:val="000543DB"/>
    <w:rsid w:val="0006588D"/>
    <w:rsid w:val="00067A5E"/>
    <w:rsid w:val="000719BB"/>
    <w:rsid w:val="00071A0E"/>
    <w:rsid w:val="00072A65"/>
    <w:rsid w:val="00072C1E"/>
    <w:rsid w:val="00073857"/>
    <w:rsid w:val="00080EC0"/>
    <w:rsid w:val="000A038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1A56"/>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D205B"/>
    <w:rsid w:val="001E3C56"/>
    <w:rsid w:val="001E678E"/>
    <w:rsid w:val="00203A3D"/>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133B4"/>
    <w:rsid w:val="004220DE"/>
    <w:rsid w:val="0042532F"/>
    <w:rsid w:val="00427794"/>
    <w:rsid w:val="004309EE"/>
    <w:rsid w:val="00441B4D"/>
    <w:rsid w:val="00450F07"/>
    <w:rsid w:val="00453CD3"/>
    <w:rsid w:val="00460660"/>
    <w:rsid w:val="00464BA9"/>
    <w:rsid w:val="00482B36"/>
    <w:rsid w:val="00483969"/>
    <w:rsid w:val="00486107"/>
    <w:rsid w:val="00491827"/>
    <w:rsid w:val="004C4399"/>
    <w:rsid w:val="004C4830"/>
    <w:rsid w:val="004C6F56"/>
    <w:rsid w:val="004C787C"/>
    <w:rsid w:val="004D4B84"/>
    <w:rsid w:val="004E0643"/>
    <w:rsid w:val="004E7A1F"/>
    <w:rsid w:val="004F4B9B"/>
    <w:rsid w:val="004F6B11"/>
    <w:rsid w:val="00500582"/>
    <w:rsid w:val="0050666E"/>
    <w:rsid w:val="005075E5"/>
    <w:rsid w:val="00511AB9"/>
    <w:rsid w:val="0051377C"/>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C50A5"/>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0F84"/>
    <w:rsid w:val="0076286B"/>
    <w:rsid w:val="00766846"/>
    <w:rsid w:val="0077673A"/>
    <w:rsid w:val="00784203"/>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3BF0"/>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0F2"/>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6E25"/>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B008D5"/>
    <w:rsid w:val="00B02F73"/>
    <w:rsid w:val="00B0619F"/>
    <w:rsid w:val="00B12F2D"/>
    <w:rsid w:val="00B13A26"/>
    <w:rsid w:val="00B15D0D"/>
    <w:rsid w:val="00B22106"/>
    <w:rsid w:val="00B222FB"/>
    <w:rsid w:val="00B26D5E"/>
    <w:rsid w:val="00B40591"/>
    <w:rsid w:val="00B5431A"/>
    <w:rsid w:val="00B6270B"/>
    <w:rsid w:val="00B75A3A"/>
    <w:rsid w:val="00B75EE1"/>
    <w:rsid w:val="00B77481"/>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21179"/>
    <w:rsid w:val="00C226C0"/>
    <w:rsid w:val="00C2298F"/>
    <w:rsid w:val="00C25AE7"/>
    <w:rsid w:val="00C33406"/>
    <w:rsid w:val="00C42FE6"/>
    <w:rsid w:val="00C44F6A"/>
    <w:rsid w:val="00C45177"/>
    <w:rsid w:val="00C54CAA"/>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81A0E"/>
    <w:rsid w:val="00D831A3"/>
    <w:rsid w:val="00D90D67"/>
    <w:rsid w:val="00D96482"/>
    <w:rsid w:val="00D97BE3"/>
    <w:rsid w:val="00DA3711"/>
    <w:rsid w:val="00DA47EF"/>
    <w:rsid w:val="00DA53DF"/>
    <w:rsid w:val="00DB160C"/>
    <w:rsid w:val="00DC0FD9"/>
    <w:rsid w:val="00DD24AF"/>
    <w:rsid w:val="00DD46F3"/>
    <w:rsid w:val="00DE56F2"/>
    <w:rsid w:val="00DF116D"/>
    <w:rsid w:val="00E06EDE"/>
    <w:rsid w:val="00E1344F"/>
    <w:rsid w:val="00E13658"/>
    <w:rsid w:val="00E16FF7"/>
    <w:rsid w:val="00E26D68"/>
    <w:rsid w:val="00E37BAF"/>
    <w:rsid w:val="00E37F6D"/>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2747F"/>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121BDD"/>
    <w:rsid w:val="001D5893"/>
    <w:rsid w:val="00245584"/>
    <w:rsid w:val="002D6E16"/>
    <w:rsid w:val="003135E6"/>
    <w:rsid w:val="00347665"/>
    <w:rsid w:val="003B7384"/>
    <w:rsid w:val="00546E40"/>
    <w:rsid w:val="005701B9"/>
    <w:rsid w:val="006527E6"/>
    <w:rsid w:val="00714028"/>
    <w:rsid w:val="00876B24"/>
    <w:rsid w:val="0096090C"/>
    <w:rsid w:val="009B79D6"/>
    <w:rsid w:val="00A61422"/>
    <w:rsid w:val="00B63FA3"/>
    <w:rsid w:val="00BC6E2B"/>
    <w:rsid w:val="00CA70E8"/>
    <w:rsid w:val="00CF4DD3"/>
    <w:rsid w:val="00D34D92"/>
    <w:rsid w:val="00D36C36"/>
    <w:rsid w:val="00D7712A"/>
    <w:rsid w:val="00DD47A2"/>
    <w:rsid w:val="00DF48D6"/>
    <w:rsid w:val="00EF7920"/>
    <w:rsid w:val="00F3773C"/>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sharepoint/v3/field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sharepoint/v3"/>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542661E-3A09-4E3E-A4C1-BA08289B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9</Pages>
  <Words>2975</Words>
  <Characters>17555</Characters>
  <Application>Microsoft Office Word</Application>
  <DocSecurity>0</DocSecurity>
  <Lines>146</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2020-12-07T10:07:00Z</cp:lastPrinted>
  <dcterms:created xsi:type="dcterms:W3CDTF">2020-12-08T12:11:00Z</dcterms:created>
  <dcterms:modified xsi:type="dcterms:W3CDTF">2020-12-08T12:11:00Z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